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10" w:rsidRDefault="00880910">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880910" w:rsidRDefault="00880910">
      <w:pPr>
        <w:tabs>
          <w:tab w:val="right" w:pos="9360"/>
        </w:tabs>
        <w:suppressAutoHyphens/>
        <w:rPr>
          <w:rFonts w:cs="Times New Roman"/>
          <w:b/>
          <w:bCs/>
          <w:sz w:val="44"/>
          <w:szCs w:val="44"/>
        </w:rPr>
      </w:pPr>
      <w:r>
        <w:rPr>
          <w:rFonts w:cs="Times New Roman"/>
          <w:b/>
          <w:bCs/>
          <w:sz w:val="44"/>
          <w:szCs w:val="44"/>
        </w:rPr>
        <w:tab/>
        <w:t>SPECIFICATION</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43 13</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STOREFRONTS </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250, 400, 550, 1000, </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FF451, FF601 </w:t>
      </w: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880910" w:rsidRDefault="00880910">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80910" w:rsidRDefault="00880910">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880910" w:rsidRDefault="00880910">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80910" w:rsidRDefault="00880910">
      <w:pPr>
        <w:pStyle w:val="BodyText"/>
        <w:framePr w:wrap="auto"/>
        <w:rPr>
          <w:rFonts w:ascii="Times New Roman" w:hAnsi="Times New Roman" w:cs="Times New Roman"/>
        </w:rPr>
      </w:pP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880910" w:rsidRDefault="00880910">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880910" w:rsidRDefault="00880910">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880910" w:rsidRDefault="0088091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880910" w:rsidRDefault="00880910">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880910" w:rsidRDefault="00880910">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80910" w:rsidRDefault="00880910">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880910" w:rsidRDefault="0088091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880910" w:rsidRDefault="00880910">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880910" w:rsidRDefault="00880910">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880910" w:rsidRDefault="00880910">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880910" w:rsidRDefault="00880910">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880910" w:rsidRDefault="00880910">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880910" w:rsidRDefault="00880910">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880910" w:rsidRDefault="00880910">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880910" w:rsidRDefault="00880910">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880910" w:rsidRDefault="00880910">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880910" w:rsidRDefault="00880910">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880910" w:rsidRDefault="00880910">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880910" w:rsidRDefault="00880910">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880910" w:rsidRDefault="00880910">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880910" w:rsidRDefault="00880910">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880910" w:rsidRDefault="0088091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880910" w:rsidRDefault="00880910">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880910" w:rsidRDefault="00880910">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880910" w:rsidRDefault="00880910">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880910" w:rsidRDefault="0088091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880910" w:rsidRDefault="0088091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880910" w:rsidRDefault="00880910">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880910" w:rsidRDefault="00880910">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880910" w:rsidRDefault="0088091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880910" w:rsidRDefault="00880910">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880910" w:rsidRDefault="00880910">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880910" w:rsidRDefault="00880910">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880910" w:rsidRDefault="00880910">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880910" w:rsidRDefault="00880910">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880910" w:rsidRDefault="00880910">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880910" w:rsidRDefault="00880910">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880910" w:rsidRDefault="00880910">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880910" w:rsidRDefault="0088091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880910" w:rsidRDefault="00880910">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880910" w:rsidRDefault="00880910">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880910" w:rsidRDefault="00880910">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80910" w:rsidRDefault="00880910">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880910" w:rsidRDefault="00880910">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880910" w:rsidRDefault="00880910">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880910" w:rsidRDefault="00880910">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880910" w:rsidRDefault="00880910">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880910" w:rsidRDefault="00880910">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880910" w:rsidRDefault="00880910">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880910" w:rsidRDefault="00880910">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Acceptable Entrance Doors: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b/>
          <w:bCs/>
          <w:sz w:val="24"/>
          <w:szCs w:val="24"/>
        </w:rPr>
        <w:t>Standard Duty Doors:  Series</w:t>
      </w:r>
      <w:r>
        <w:rPr>
          <w:sz w:val="24"/>
          <w:szCs w:val="24"/>
        </w:rPr>
        <w:t xml:space="preserve"> [250] [400] [550] available for panic devices or standard locking hardware consult factory for options available. </w:t>
      </w:r>
    </w:p>
    <w:p w:rsidR="00880910" w:rsidRDefault="00880910">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color w:val="000000"/>
          <w:sz w:val="24"/>
          <w:szCs w:val="24"/>
        </w:rPr>
      </w:pPr>
      <w:r>
        <w:rPr>
          <w:b/>
          <w:bCs/>
          <w:color w:val="000000"/>
          <w:sz w:val="24"/>
          <w:szCs w:val="24"/>
        </w:rPr>
        <w:t>Standard Duty Doors: Series</w:t>
      </w:r>
      <w:r>
        <w:rPr>
          <w:color w:val="000000"/>
          <w:sz w:val="24"/>
          <w:szCs w:val="24"/>
        </w:rPr>
        <w:t xml:space="preserve"> [1000] Flush Panel Doors 1-5/8” Thick Flush Panel with [.06] [.125] Outer Panels with [Blank] [Top and Bottom Narrow Lites] [Narrow Lite] [12” x 12” View Lite] [Half Lite]. </w:t>
      </w:r>
    </w:p>
    <w:p w:rsidR="00880910" w:rsidRDefault="00880910">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All doors provided with Life-Time Warranty on Door Corner Construction </w:t>
      </w:r>
    </w:p>
    <w:p w:rsidR="00880910" w:rsidRDefault="00880910">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Doors constructed using CORNER-LOC Mechanically Fastened and Welded Corners.</w:t>
      </w:r>
    </w:p>
    <w:p w:rsidR="00880910" w:rsidRDefault="00880910">
      <w:pPr>
        <w:rPr>
          <w:rFonts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8.25pt;margin-top:9.25pt;width:450.75pt;height:81pt;z-index:251658240">
            <v:textbox>
              <w:txbxContent>
                <w:p w:rsidR="00880910" w:rsidRDefault="00880910">
                  <w:pPr>
                    <w:rPr>
                      <w:rFonts w:cs="Times New Roman"/>
                      <w:b/>
                      <w:bCs/>
                      <w:i/>
                      <w:iCs/>
                      <w:sz w:val="24"/>
                      <w:szCs w:val="24"/>
                    </w:rPr>
                  </w:pPr>
                  <w:r>
                    <w:rPr>
                      <w:rFonts w:cs="Times New Roman"/>
                      <w:b/>
                      <w:bCs/>
                      <w:i/>
                      <w:iCs/>
                      <w:sz w:val="24"/>
                      <w:szCs w:val="24"/>
                    </w:rPr>
                    <w:t>U.S. Aluminum offers a variety of systems as follows (all doors can accommodate 1 inch [25 mm] glazing):</w:t>
                  </w:r>
                </w:p>
                <w:p w:rsidR="00880910" w:rsidRDefault="00880910">
                  <w:pPr>
                    <w:rPr>
                      <w:rFonts w:cs="Times New Roman"/>
                      <w:b/>
                      <w:bCs/>
                      <w:i/>
                      <w:iCs/>
                      <w:sz w:val="24"/>
                      <w:szCs w:val="24"/>
                    </w:rPr>
                  </w:pPr>
                </w:p>
                <w:p w:rsidR="00880910" w:rsidRDefault="00880910">
                  <w:pPr>
                    <w:rPr>
                      <w:rFonts w:cs="Times New Roman"/>
                      <w:b/>
                      <w:bCs/>
                      <w:i/>
                      <w:iCs/>
                      <w:sz w:val="24"/>
                      <w:szCs w:val="24"/>
                    </w:rPr>
                  </w:pPr>
                  <w:r>
                    <w:rPr>
                      <w:rFonts w:cs="Times New Roman"/>
                      <w:b/>
                      <w:bCs/>
                      <w:i/>
                      <w:iCs/>
                      <w:sz w:val="24"/>
                      <w:szCs w:val="24"/>
                    </w:rPr>
                    <w:t>Doors have 0.125 inch (3 mm) wall thickness; 1-3/4 inch (44 mm) deep in three frame widths:</w:t>
                  </w:r>
                </w:p>
              </w:txbxContent>
            </v:textbox>
          </v:shape>
        </w:pict>
      </w:r>
      <w:r>
        <w:rPr>
          <w:rFonts w:cs="Times New Roman"/>
          <w:sz w:val="24"/>
          <w:szCs w:val="24"/>
        </w:rPr>
        <w:t xml:space="preserve">        </w:t>
      </w:r>
    </w:p>
    <w:p w:rsidR="00880910" w:rsidRDefault="00880910">
      <w:pPr>
        <w:rPr>
          <w:rFonts w:cs="Times New Roman"/>
          <w:sz w:val="24"/>
          <w:szCs w:val="24"/>
        </w:rPr>
      </w:pPr>
    </w:p>
    <w:p w:rsidR="00880910" w:rsidRDefault="00880910">
      <w:pPr>
        <w:rPr>
          <w:rFonts w:cs="Times New Roman"/>
          <w:sz w:val="24"/>
          <w:szCs w:val="24"/>
        </w:rPr>
      </w:pPr>
    </w:p>
    <w:p w:rsidR="00880910" w:rsidRDefault="00880910">
      <w:pPr>
        <w:rPr>
          <w:rFonts w:cs="Times New Roman"/>
          <w:sz w:val="24"/>
          <w:szCs w:val="24"/>
        </w:rPr>
      </w:pPr>
    </w:p>
    <w:p w:rsidR="00880910" w:rsidRDefault="00880910">
      <w:pPr>
        <w:rPr>
          <w:rFonts w:cs="Times New Roman"/>
          <w:sz w:val="24"/>
          <w:szCs w:val="24"/>
        </w:rPr>
      </w:pPr>
    </w:p>
    <w:p w:rsidR="00880910" w:rsidRDefault="00880910">
      <w:pPr>
        <w:rPr>
          <w:rFonts w:cs="Times New Roman"/>
          <w:sz w:val="24"/>
          <w:szCs w:val="24"/>
        </w:rPr>
      </w:pPr>
    </w:p>
    <w:p w:rsidR="00880910" w:rsidRDefault="00880910">
      <w:pPr>
        <w:rPr>
          <w:rFonts w:cs="Times New Roman"/>
          <w:sz w:val="24"/>
          <w:szCs w:val="24"/>
        </w:rPr>
      </w:pPr>
    </w:p>
    <w:p w:rsidR="00880910" w:rsidRDefault="00880910">
      <w:pPr>
        <w:rPr>
          <w:rFonts w:cs="Times New Roman"/>
          <w:sz w:val="24"/>
          <w:szCs w:val="24"/>
        </w:rPr>
      </w:pPr>
    </w:p>
    <w:p w:rsidR="00880910" w:rsidRDefault="00880910">
      <w:pPr>
        <w:ind w:left="90" w:hanging="90"/>
        <w:rPr>
          <w:rFonts w:cs="Times New Roman"/>
          <w:b/>
          <w:bCs/>
          <w:noProof/>
          <w:sz w:val="24"/>
          <w:szCs w:val="24"/>
        </w:rPr>
      </w:pPr>
      <w:r>
        <w:rPr>
          <w:rFonts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8pt;height:87pt;visibility:visible">
            <v:imagedata r:id="rId9" o:title=""/>
          </v:shape>
        </w:pict>
      </w:r>
    </w:p>
    <w:p w:rsidR="00880910" w:rsidRDefault="00880910">
      <w:pPr>
        <w:ind w:left="90" w:hanging="90"/>
        <w:rPr>
          <w:rFonts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980"/>
        <w:gridCol w:w="1944"/>
        <w:gridCol w:w="2286"/>
      </w:tblGrid>
      <w:tr w:rsidR="00880910">
        <w:tc>
          <w:tcPr>
            <w:tcW w:w="3060" w:type="dxa"/>
          </w:tcPr>
          <w:p w:rsidR="00880910" w:rsidRDefault="00880910">
            <w:pPr>
              <w:rPr>
                <w:rFonts w:cs="Times New Roman"/>
                <w:sz w:val="24"/>
                <w:szCs w:val="24"/>
              </w:rPr>
            </w:pPr>
            <w:r>
              <w:rPr>
                <w:rFonts w:cs="Times New Roman"/>
                <w:sz w:val="24"/>
                <w:szCs w:val="24"/>
              </w:rPr>
              <w:t>1000 FLUSH PANEL DOORS</w:t>
            </w:r>
          </w:p>
        </w:tc>
        <w:tc>
          <w:tcPr>
            <w:tcW w:w="1980" w:type="dxa"/>
          </w:tcPr>
          <w:p w:rsidR="00880910" w:rsidRDefault="00880910">
            <w:pPr>
              <w:rPr>
                <w:rFonts w:cs="Times New Roman"/>
                <w:sz w:val="24"/>
                <w:szCs w:val="24"/>
              </w:rPr>
            </w:pPr>
            <w:r>
              <w:rPr>
                <w:rFonts w:cs="Times New Roman"/>
                <w:sz w:val="24"/>
                <w:szCs w:val="24"/>
              </w:rPr>
              <w:t xml:space="preserve">     STILES </w:t>
            </w:r>
          </w:p>
        </w:tc>
        <w:tc>
          <w:tcPr>
            <w:tcW w:w="1944" w:type="dxa"/>
          </w:tcPr>
          <w:p w:rsidR="00880910" w:rsidRDefault="00880910">
            <w:pPr>
              <w:rPr>
                <w:rFonts w:cs="Times New Roman"/>
                <w:sz w:val="24"/>
                <w:szCs w:val="24"/>
              </w:rPr>
            </w:pPr>
            <w:r>
              <w:rPr>
                <w:rFonts w:cs="Times New Roman"/>
                <w:sz w:val="24"/>
                <w:szCs w:val="24"/>
              </w:rPr>
              <w:t xml:space="preserve">     TOP RAIL</w:t>
            </w:r>
          </w:p>
        </w:tc>
        <w:tc>
          <w:tcPr>
            <w:tcW w:w="2286" w:type="dxa"/>
          </w:tcPr>
          <w:p w:rsidR="00880910" w:rsidRDefault="00880910">
            <w:pPr>
              <w:rPr>
                <w:rFonts w:ascii="Arial" w:hAnsi="Arial" w:cs="Arial"/>
                <w:sz w:val="22"/>
                <w:szCs w:val="22"/>
              </w:rPr>
            </w:pPr>
            <w:r>
              <w:rPr>
                <w:rFonts w:ascii="Arial" w:hAnsi="Arial" w:cs="Arial"/>
                <w:sz w:val="22"/>
                <w:szCs w:val="22"/>
              </w:rPr>
              <w:t xml:space="preserve">  BOTTOM RAIL</w:t>
            </w:r>
          </w:p>
        </w:tc>
      </w:tr>
      <w:tr w:rsidR="00880910">
        <w:tc>
          <w:tcPr>
            <w:tcW w:w="3060" w:type="dxa"/>
          </w:tcPr>
          <w:p w:rsidR="00880910" w:rsidRDefault="00880910">
            <w:pPr>
              <w:rPr>
                <w:rFonts w:cs="Times New Roman"/>
                <w:sz w:val="24"/>
                <w:szCs w:val="24"/>
              </w:rPr>
            </w:pPr>
            <w:r>
              <w:rPr>
                <w:rFonts w:cs="Times New Roman"/>
                <w:sz w:val="24"/>
                <w:szCs w:val="24"/>
              </w:rPr>
              <w:t xml:space="preserve">      250 Narrow Stile </w:t>
            </w:r>
          </w:p>
        </w:tc>
        <w:tc>
          <w:tcPr>
            <w:tcW w:w="1980" w:type="dxa"/>
          </w:tcPr>
          <w:p w:rsidR="00880910" w:rsidRDefault="00880910">
            <w:pPr>
              <w:rPr>
                <w:rFonts w:cs="Times New Roman"/>
                <w:sz w:val="24"/>
                <w:szCs w:val="24"/>
              </w:rPr>
            </w:pPr>
            <w:r>
              <w:rPr>
                <w:rFonts w:cs="Times New Roman"/>
                <w:sz w:val="24"/>
                <w:szCs w:val="24"/>
              </w:rPr>
              <w:t xml:space="preserve">     2”(50.8)</w:t>
            </w:r>
          </w:p>
        </w:tc>
        <w:tc>
          <w:tcPr>
            <w:tcW w:w="1944" w:type="dxa"/>
          </w:tcPr>
          <w:p w:rsidR="00880910" w:rsidRDefault="00880910">
            <w:pPr>
              <w:rPr>
                <w:rFonts w:cs="Times New Roman"/>
                <w:sz w:val="24"/>
                <w:szCs w:val="24"/>
              </w:rPr>
            </w:pPr>
            <w:r>
              <w:rPr>
                <w:rFonts w:cs="Times New Roman"/>
                <w:sz w:val="24"/>
                <w:szCs w:val="24"/>
              </w:rPr>
              <w:t xml:space="preserve">     2-1/8”(54)</w:t>
            </w:r>
          </w:p>
        </w:tc>
        <w:tc>
          <w:tcPr>
            <w:tcW w:w="2286" w:type="dxa"/>
          </w:tcPr>
          <w:p w:rsidR="00880910" w:rsidRDefault="00880910">
            <w:pPr>
              <w:rPr>
                <w:rFonts w:cs="Times New Roman"/>
                <w:sz w:val="24"/>
                <w:szCs w:val="24"/>
              </w:rPr>
            </w:pPr>
            <w:r>
              <w:rPr>
                <w:rFonts w:cs="Times New Roman"/>
                <w:sz w:val="24"/>
                <w:szCs w:val="24"/>
              </w:rPr>
              <w:t xml:space="preserve">     3-3/16”(81)</w:t>
            </w:r>
          </w:p>
        </w:tc>
      </w:tr>
      <w:tr w:rsidR="00880910">
        <w:tc>
          <w:tcPr>
            <w:tcW w:w="3060" w:type="dxa"/>
          </w:tcPr>
          <w:p w:rsidR="00880910" w:rsidRDefault="00880910">
            <w:pPr>
              <w:rPr>
                <w:rFonts w:cs="Times New Roman"/>
                <w:sz w:val="24"/>
                <w:szCs w:val="24"/>
              </w:rPr>
            </w:pPr>
            <w:r>
              <w:rPr>
                <w:rFonts w:cs="Times New Roman"/>
                <w:sz w:val="24"/>
                <w:szCs w:val="24"/>
              </w:rPr>
              <w:t xml:space="preserve">      400 Medium Stile </w:t>
            </w:r>
          </w:p>
        </w:tc>
        <w:tc>
          <w:tcPr>
            <w:tcW w:w="1980" w:type="dxa"/>
          </w:tcPr>
          <w:p w:rsidR="00880910" w:rsidRDefault="00880910">
            <w:pPr>
              <w:rPr>
                <w:rFonts w:cs="Times New Roman"/>
                <w:sz w:val="24"/>
                <w:szCs w:val="24"/>
              </w:rPr>
            </w:pPr>
            <w:r>
              <w:rPr>
                <w:rFonts w:cs="Times New Roman"/>
                <w:sz w:val="24"/>
                <w:szCs w:val="24"/>
              </w:rPr>
              <w:t xml:space="preserve">  3-1/2”(88.9)</w:t>
            </w:r>
          </w:p>
        </w:tc>
        <w:tc>
          <w:tcPr>
            <w:tcW w:w="1944" w:type="dxa"/>
          </w:tcPr>
          <w:p w:rsidR="00880910" w:rsidRDefault="00880910">
            <w:pPr>
              <w:rPr>
                <w:rFonts w:cs="Times New Roman"/>
                <w:sz w:val="24"/>
                <w:szCs w:val="24"/>
              </w:rPr>
            </w:pPr>
            <w:r>
              <w:rPr>
                <w:rFonts w:cs="Times New Roman"/>
                <w:sz w:val="24"/>
                <w:szCs w:val="24"/>
              </w:rPr>
              <w:t xml:space="preserve">    3-3/16”(81)</w:t>
            </w:r>
          </w:p>
        </w:tc>
        <w:tc>
          <w:tcPr>
            <w:tcW w:w="2286" w:type="dxa"/>
          </w:tcPr>
          <w:p w:rsidR="00880910" w:rsidRDefault="00880910">
            <w:pPr>
              <w:rPr>
                <w:rFonts w:cs="Times New Roman"/>
                <w:sz w:val="24"/>
                <w:szCs w:val="24"/>
              </w:rPr>
            </w:pPr>
            <w:r>
              <w:rPr>
                <w:rFonts w:cs="Times New Roman"/>
                <w:sz w:val="24"/>
                <w:szCs w:val="24"/>
              </w:rPr>
              <w:t xml:space="preserve">    6-1/2”(165.1)</w:t>
            </w:r>
          </w:p>
        </w:tc>
      </w:tr>
      <w:tr w:rsidR="00880910">
        <w:tc>
          <w:tcPr>
            <w:tcW w:w="3060" w:type="dxa"/>
          </w:tcPr>
          <w:p w:rsidR="00880910" w:rsidRDefault="00880910">
            <w:pPr>
              <w:rPr>
                <w:rFonts w:cs="Times New Roman"/>
                <w:sz w:val="24"/>
                <w:szCs w:val="24"/>
              </w:rPr>
            </w:pPr>
            <w:r>
              <w:rPr>
                <w:rFonts w:cs="Times New Roman"/>
                <w:sz w:val="24"/>
                <w:szCs w:val="24"/>
              </w:rPr>
              <w:t xml:space="preserve">      550 Wide Stile </w:t>
            </w:r>
          </w:p>
        </w:tc>
        <w:tc>
          <w:tcPr>
            <w:tcW w:w="1980" w:type="dxa"/>
          </w:tcPr>
          <w:p w:rsidR="00880910" w:rsidRDefault="00880910">
            <w:pPr>
              <w:rPr>
                <w:rFonts w:cs="Times New Roman"/>
                <w:sz w:val="24"/>
                <w:szCs w:val="24"/>
              </w:rPr>
            </w:pPr>
            <w:r>
              <w:rPr>
                <w:rFonts w:cs="Times New Roman"/>
                <w:sz w:val="24"/>
                <w:szCs w:val="24"/>
              </w:rPr>
              <w:t xml:space="preserve">     5” (127)</w:t>
            </w:r>
          </w:p>
        </w:tc>
        <w:tc>
          <w:tcPr>
            <w:tcW w:w="1944" w:type="dxa"/>
          </w:tcPr>
          <w:p w:rsidR="00880910" w:rsidRDefault="00880910">
            <w:pPr>
              <w:rPr>
                <w:rFonts w:cs="Times New Roman"/>
                <w:sz w:val="24"/>
                <w:szCs w:val="24"/>
              </w:rPr>
            </w:pPr>
            <w:r>
              <w:rPr>
                <w:rFonts w:cs="Times New Roman"/>
                <w:sz w:val="24"/>
                <w:szCs w:val="24"/>
              </w:rPr>
              <w:t xml:space="preserve">    5-1/2”(139.7)</w:t>
            </w:r>
          </w:p>
        </w:tc>
        <w:tc>
          <w:tcPr>
            <w:tcW w:w="2286" w:type="dxa"/>
          </w:tcPr>
          <w:p w:rsidR="00880910" w:rsidRDefault="00880910">
            <w:pPr>
              <w:rPr>
                <w:rFonts w:cs="Times New Roman"/>
                <w:sz w:val="24"/>
                <w:szCs w:val="24"/>
              </w:rPr>
            </w:pPr>
            <w:r>
              <w:rPr>
                <w:rFonts w:cs="Times New Roman"/>
                <w:sz w:val="24"/>
                <w:szCs w:val="24"/>
              </w:rPr>
              <w:t xml:space="preserve">     6-1/2”(165.1)</w:t>
            </w:r>
          </w:p>
        </w:tc>
      </w:tr>
    </w:tbl>
    <w:p w:rsidR="00880910" w:rsidRDefault="00880910">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D.</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27" type="#_x0000_t202" style="position:absolute;left:0;text-align:left;margin-left:-5.25pt;margin-top:10.6pt;width:463.5pt;height:33.05pt;z-index:251659264">
            <v:textbox>
              <w:txbxContent>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880910" w:rsidRDefault="00880910">
                  <w:pPr>
                    <w:rPr>
                      <w:rFonts w:cs="Times New Roman"/>
                    </w:rPr>
                  </w:pPr>
                  <w:r>
                    <w:rPr>
                      <w:rFonts w:cs="Times New Roman"/>
                      <w:b/>
                      <w:bCs/>
                      <w:i/>
                      <w:iCs/>
                      <w:sz w:val="24"/>
                      <w:szCs w:val="24"/>
                    </w:rPr>
                    <w:tab/>
                  </w:r>
                </w:p>
              </w:txbxContent>
            </v:textbox>
          </v:shape>
        </w:pict>
      </w:r>
      <w:r>
        <w:rPr>
          <w:sz w:val="24"/>
          <w:szCs w:val="24"/>
        </w:rPr>
        <w:tab/>
      </w:r>
    </w:p>
    <w:p w:rsidR="00880910" w:rsidRDefault="00880910">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[FF451] [FF601]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r>
        <w:rPr>
          <w:sz w:val="24"/>
          <w:szCs w:val="24"/>
        </w:rPr>
        <w:t xml:space="preserve">Flush Front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pict>
          <v:shape id="_x0000_i1026" type="#_x0000_t75" style="width:430.5pt;height:21.75pt">
            <v:imagedata r:id="rId10" o:title=""/>
          </v:shape>
        </w:pic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2160"/>
        <w:rPr>
          <w:sz w:val="24"/>
          <w:szCs w:val="24"/>
        </w:rPr>
      </w:pPr>
      <w:r>
        <w:rPr>
          <w:sz w:val="24"/>
          <w:szCs w:val="24"/>
        </w:rPr>
        <w:pict>
          <v:shape id="_x0000_i1027" type="#_x0000_t75" style="width:430.5pt;height:21pt">
            <v:imagedata r:id="rId11" o:title=""/>
          </v:shape>
        </w:pic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2160"/>
        <w:rPr>
          <w:sz w:val="24"/>
          <w:szCs w:val="24"/>
        </w:rPr>
      </w:pPr>
      <w:r>
        <w:rPr>
          <w:sz w:val="24"/>
          <w:szCs w:val="24"/>
        </w:rPr>
        <w:pict>
          <v:shape id="_x0000_i1028" type="#_x0000_t75" style="width:432.75pt;height:22.5pt">
            <v:imagedata r:id="rId12" o:title=""/>
          </v:shape>
        </w:pic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216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216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880910" w:rsidRDefault="00880910">
      <w:pPr>
        <w:rPr>
          <w:rFonts w:cs="Times New Roman"/>
          <w:sz w:val="24"/>
          <w:szCs w:val="24"/>
        </w:rPr>
      </w:pPr>
      <w:r>
        <w:rPr>
          <w:rFonts w:cs="Times New Roman"/>
          <w:sz w:val="24"/>
          <w:szCs w:val="24"/>
        </w:rPr>
        <w:tab/>
      </w:r>
    </w:p>
    <w:p w:rsidR="00880910" w:rsidRDefault="00880910">
      <w:pPr>
        <w:rPr>
          <w:rFonts w:cs="Times New Roman"/>
          <w:sz w:val="24"/>
          <w:szCs w:val="24"/>
        </w:rPr>
      </w:pPr>
      <w:r>
        <w:rPr>
          <w:rFonts w:cs="Times New Roman"/>
          <w:sz w:val="24"/>
          <w:szCs w:val="24"/>
        </w:rPr>
        <w:t>Flush Front features screw race joinery and panel type installation with the glass being front set which offers the designer to move the glass line from the outer edge to the inner edge or alternating the glass line from bay to bay creating a custom look.</w:t>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t>FRAMING MATERIALS AND ACCESSORIES</w:t>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880910" w:rsidRDefault="00880910">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noProof/>
        </w:rPr>
        <w:pict>
          <v:shape id="_x0000_s1028" type="#_x0000_t202" style="position:absolute;left:0;text-align:left;margin-left:-4.95pt;margin-top:2.75pt;width:18pt;height:14.05pt;z-index:251660288" filled="f" stroked="f">
            <v:textbox style="mso-next-textbox:#_x0000_s1028">
              <w:txbxContent>
                <w:p w:rsidR="00880910" w:rsidRDefault="00880910">
                  <w:pPr>
                    <w:rPr>
                      <w:rFonts w:cs="Times New Roman"/>
                      <w:sz w:val="24"/>
                      <w:szCs w:val="24"/>
                    </w:rPr>
                  </w:pPr>
                </w:p>
              </w:txbxContent>
            </v:textbox>
          </v:shape>
        </w:pict>
      </w:r>
      <w:r>
        <w:rPr>
          <w:sz w:val="24"/>
          <w:szCs w:val="24"/>
        </w:rPr>
        <w:t>1.</w:t>
      </w:r>
      <w:r>
        <w:rPr>
          <w:sz w:val="24"/>
          <w:szCs w:val="24"/>
        </w:rPr>
        <w:tab/>
        <w:t>ASTM B221, alloy 6063-T6 for extrusions; ASTM B209, alloy 5005-H34 for sheets; or other alloys and temper recommended by manufacturer appropriate for specified finish.</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880910" w:rsidRDefault="00880910">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880910" w:rsidRDefault="00880910">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701.2; or extruded EPDM elastomeric    </w:t>
      </w:r>
      <w:r>
        <w:rPr>
          <w:sz w:val="24"/>
          <w:szCs w:val="24"/>
        </w:rPr>
        <w:tab/>
        <w:t>conforming to ASTM C509 or C864.</w:t>
      </w:r>
    </w:p>
    <w:p w:rsidR="00880910" w:rsidRDefault="00880910">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t xml:space="preserve">blade gasket weatherstripping in bottom door rail, </w:t>
      </w:r>
      <w:r>
        <w:rPr>
          <w:sz w:val="24"/>
          <w:szCs w:val="24"/>
        </w:rPr>
        <w:tab/>
        <w:t>adjustable for contact with threshold.</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880910" w:rsidRDefault="00880910">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t>Baffles (at weep holes):  Type as recommended by system manufacturer and   shown in published installation instructions.</w:t>
      </w: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880910" w:rsidRDefault="00880910">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GLASS AND GLAZING ACCESSORIES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Refer to Section 08 81 00.</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Entrance manufacturer's standard hardware should be specified here and all other non-standard hardware can be specified here or in section 08710 – Careful consideration as all Door hardware should be given installed by door manufacturer.  Coordinate requirements.</w:t>
      </w:r>
    </w:p>
    <w:p w:rsidR="00880910" w:rsidRDefault="00880910">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880910" w:rsidRDefault="00880910">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List each item of hardware to be furnished.  Describe each item by giving manufacturer's name, catalog number, size, finish and special features.  Add, delete and edit as required.</w:t>
      </w:r>
    </w:p>
    <w:p w:rsidR="00880910" w:rsidRDefault="00880910">
      <w:pPr>
        <w:pStyle w:val="Caption"/>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t>DOOR HARDWARE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Pivot hinges:  [Offset type [with intermediate]] [Center hung type].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Butt hinges:  [_____________________________].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Concealed overhead closers: [_______________].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Surface closers:  [_________________________].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Push bar:   [____________________].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Pulls:  [_________________].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Panic devices:  [Mid-panel panic device] [____________________].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Deadlocks:  [__________________].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Deadlatch:  [__________________].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10.</w:t>
      </w:r>
      <w:r>
        <w:rPr>
          <w:sz w:val="24"/>
          <w:szCs w:val="24"/>
        </w:rPr>
        <w:tab/>
        <w:t>Cylinders:  Specified in Section 08710.</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11.</w:t>
      </w:r>
      <w:r>
        <w:rPr>
          <w:sz w:val="24"/>
          <w:szCs w:val="24"/>
        </w:rPr>
        <w:tab/>
        <w:t>Electric strikes: [_______________].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12.</w:t>
      </w:r>
      <w:r>
        <w:rPr>
          <w:sz w:val="24"/>
          <w:szCs w:val="24"/>
        </w:rPr>
        <w:tab/>
        <w:t>Flush bolts:  [_________].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13.</w:t>
      </w:r>
      <w:r>
        <w:rPr>
          <w:sz w:val="24"/>
          <w:szCs w:val="24"/>
        </w:rPr>
        <w:tab/>
        <w:t>Coordinators: [_____________________________].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14.</w:t>
      </w:r>
      <w:r>
        <w:rPr>
          <w:sz w:val="24"/>
          <w:szCs w:val="24"/>
        </w:rPr>
        <w:tab/>
        <w:t>Door holders: [_________________].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15.</w:t>
      </w:r>
      <w:r>
        <w:rPr>
          <w:sz w:val="24"/>
          <w:szCs w:val="24"/>
        </w:rPr>
        <w:tab/>
        <w:t>Stops:  [___________________________________].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16.</w:t>
      </w:r>
      <w:r>
        <w:rPr>
          <w:sz w:val="24"/>
          <w:szCs w:val="24"/>
        </w:rPr>
        <w:tab/>
        <w:t>Kickplates: [_______________________________].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17.</w:t>
      </w:r>
      <w:r>
        <w:rPr>
          <w:sz w:val="24"/>
          <w:szCs w:val="24"/>
        </w:rPr>
        <w:tab/>
        <w:t>Thresholds: [_______________________________].</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18.</w:t>
      </w:r>
      <w:r>
        <w:rPr>
          <w:sz w:val="24"/>
          <w:szCs w:val="24"/>
        </w:rPr>
        <w:tab/>
        <w:t>Weatherstripping:  Manufacturer's standard.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Create a hardware set for each door.  List each item of hardware to be used on a specific door to form a hardware set.  List item by title and quantity required per opening. Each set shall list door openings to which set is applicable.  Following hardware set is an example.  Edit as necessary and create additional sets as required by project conditions.</w:t>
      </w:r>
    </w:p>
    <w:p w:rsidR="00880910" w:rsidRDefault="00880910">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Hardware Set 1, each single door shall have: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Offset pivots.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1 each deadlock.</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1 each closer.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1 set push/pull bars.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1 each stop.</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1 each threshold.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880910" w:rsidRDefault="00880910">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880910" w:rsidRDefault="00880910">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880910" w:rsidRDefault="00880910">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880910" w:rsidRDefault="00880910">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880910" w:rsidRDefault="00880910">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 mechanical joints using internal reinforcing plates and shear blocks attached with fasteners and by welding.</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 of [square] [beveled and mitered (for single glazing only)] design, [permanently anchored on security side and removable on opposite side.]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880910" w:rsidRDefault="00880910">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880910" w:rsidRDefault="0088091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21</w:t>
      </w:r>
      <w:r>
        <w:rPr>
          <w:vanish/>
        </w:rPr>
        <w:fldChar w:fldCharType="end"/>
      </w: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880910" w:rsidRDefault="0088091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22</w:t>
      </w:r>
      <w:r>
        <w:rPr>
          <w:vanish/>
        </w:rPr>
        <w:fldChar w:fldCharType="end"/>
      </w:r>
    </w:p>
    <w:p w:rsidR="00880910" w:rsidRDefault="00880910">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880910">
          <w:headerReference w:type="default" r:id="rId13"/>
          <w:footerReference w:type="default" r:id="rId14"/>
          <w:type w:val="continuous"/>
          <w:pgSz w:w="12240" w:h="15840"/>
          <w:pgMar w:top="1080" w:right="1440" w:bottom="720" w:left="1440" w:header="1080" w:footer="720" w:gutter="0"/>
          <w:cols w:space="720"/>
          <w:noEndnote/>
        </w:sectPr>
      </w:pPr>
    </w:p>
    <w:p w:rsidR="00880910" w:rsidRDefault="00880910">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880910" w:rsidRDefault="00880910">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880910" w:rsidRDefault="00880910">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880910" w:rsidRDefault="00880910">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880910" w:rsidRDefault="00880910">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80910" w:rsidRDefault="00880910">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880910" w:rsidRDefault="00880910">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880910" w:rsidRDefault="00880910">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880910" w:rsidRDefault="00880910">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880910" w:rsidRDefault="0088091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80910" w:rsidRDefault="00880910">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880910" w:rsidSect="00880910">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910" w:rsidRDefault="00880910">
      <w:pPr>
        <w:widowControl/>
        <w:spacing w:line="20" w:lineRule="exact"/>
        <w:rPr>
          <w:rFonts w:cs="Times New Roman"/>
          <w:sz w:val="24"/>
          <w:szCs w:val="24"/>
        </w:rPr>
      </w:pPr>
    </w:p>
  </w:endnote>
  <w:endnote w:type="continuationSeparator" w:id="0">
    <w:p w:rsidR="00880910" w:rsidRDefault="00880910">
      <w:pPr>
        <w:pStyle w:val="PART32a"/>
      </w:pPr>
      <w:r>
        <w:rPr>
          <w:sz w:val="24"/>
          <w:szCs w:val="24"/>
        </w:rPr>
        <w:t>A.</w:t>
      </w:r>
      <w:r>
        <w:rPr>
          <w:sz w:val="24"/>
          <w:szCs w:val="24"/>
        </w:rPr>
        <w:tab/>
        <w:t xml:space="preserve"> </w:t>
      </w:r>
    </w:p>
  </w:endnote>
  <w:endnote w:type="continuationNotice" w:id="1">
    <w:p w:rsidR="00880910" w:rsidRDefault="00880910">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10" w:rsidRDefault="0088091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p w:rsidR="00880910" w:rsidRDefault="00880910">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910" w:rsidRDefault="00880910">
      <w:pPr>
        <w:pStyle w:val="PART32a"/>
      </w:pPr>
      <w:r>
        <w:rPr>
          <w:sz w:val="24"/>
          <w:szCs w:val="24"/>
        </w:rPr>
        <w:t>A.</w:t>
      </w:r>
      <w:r>
        <w:rPr>
          <w:sz w:val="24"/>
          <w:szCs w:val="24"/>
        </w:rPr>
        <w:tab/>
      </w:r>
      <w:r>
        <w:rPr>
          <w:sz w:val="24"/>
          <w:szCs w:val="24"/>
        </w:rPr>
        <w:separator/>
      </w:r>
    </w:p>
  </w:footnote>
  <w:footnote w:type="continuationSeparator" w:id="0">
    <w:p w:rsidR="00880910" w:rsidRDefault="0088091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10" w:rsidRDefault="00880910">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14</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15</w:t>
    </w:r>
    <w:r>
      <w:rPr>
        <w:b/>
        <w:bCs/>
        <w:sz w:val="18"/>
        <w:szCs w:val="18"/>
      </w:rPr>
      <w:fldChar w:fldCharType="end"/>
    </w:r>
  </w:p>
  <w:p w:rsidR="00880910" w:rsidRDefault="008809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5">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6">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7">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8">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0">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1">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5"/>
  </w:num>
  <w:num w:numId="4">
    <w:abstractNumId w:val="10"/>
  </w:num>
  <w:num w:numId="5">
    <w:abstractNumId w:val="14"/>
  </w:num>
  <w:num w:numId="6">
    <w:abstractNumId w:val="4"/>
  </w:num>
  <w:num w:numId="7">
    <w:abstractNumId w:val="18"/>
  </w:num>
  <w:num w:numId="8">
    <w:abstractNumId w:val="18"/>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0"/>
  </w:num>
  <w:num w:numId="10">
    <w:abstractNumId w:val="0"/>
  </w:num>
  <w:num w:numId="11">
    <w:abstractNumId w:val="3"/>
  </w:num>
  <w:num w:numId="12">
    <w:abstractNumId w:val="8"/>
  </w:num>
  <w:num w:numId="13">
    <w:abstractNumId w:val="19"/>
  </w:num>
  <w:num w:numId="14">
    <w:abstractNumId w:val="19"/>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1"/>
  </w:num>
  <w:num w:numId="18">
    <w:abstractNumId w:val="6"/>
  </w:num>
  <w:num w:numId="19">
    <w:abstractNumId w:val="5"/>
  </w:num>
  <w:num w:numId="20">
    <w:abstractNumId w:val="17"/>
  </w:num>
  <w:num w:numId="21">
    <w:abstractNumId w:val="16"/>
  </w:num>
  <w:num w:numId="22">
    <w:abstractNumId w:val="1"/>
  </w:num>
  <w:num w:numId="23">
    <w:abstractNumId w:val="7"/>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910"/>
    <w:rsid w:val="008809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TotalTime>
  <Pages>15</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17</cp:revision>
  <cp:lastPrinted>2012-12-21T21:19:00Z</cp:lastPrinted>
  <dcterms:created xsi:type="dcterms:W3CDTF">2012-12-19T17:55:00Z</dcterms:created>
  <dcterms:modified xsi:type="dcterms:W3CDTF">2014-01-20T15:51:00Z</dcterms:modified>
</cp:coreProperties>
</file>